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FD0" w:rsidRDefault="00E00FD0" w:rsidP="00E00FD0">
      <w:r>
        <w:t>ITT has strategized on the application of both the related and unrelated diversification.  Firstly, it has four important divisions which include, industrial process division, motion technologies, interconnect solutions, and control technologies. All the four divisions are related in the sense that products from one sector can be used to complete equipment in the other area; for instance, interconnect solution division and control technologies are related in the manufacture of automobiles. The business has also applied unrelated diversification; for example, in the production of biopharmaceutical products and even in the oilfield equipment.</w:t>
      </w:r>
    </w:p>
    <w:p w:rsidR="00E00FD0" w:rsidRDefault="00E00FD0" w:rsidP="00E00FD0">
      <w:r>
        <w:t>The application of both related and unrelated diversification helps ITT to enjoy the benefits of both strategies. Firstly, the company has the advantage of having enough funds for supporting the central division, especially during the seasonal slowdown.  Under good management, the business is likely to perform well since the organization has risked in different sectors. The firm also enjoys the strategic allocation of resources to the industry that is playing well in particular seasons; this helps generate huge incomes for the shareholders. The company also can improve its performance by identifying what their customers need and thus deliver to the market. The related sectors can also share ideas regarding market needs.</w:t>
      </w:r>
    </w:p>
    <w:p w:rsidR="005668AB" w:rsidRPr="00E00FD0" w:rsidRDefault="00E00FD0" w:rsidP="00E00FD0">
      <w:r>
        <w:t>The company can also enter into research business where it can focus on researching different materials applied in other divisions. This research can be conducted on materials like rubber, metals, fabrics, and chemicals used in the main business. The company can offer these services to other outside organizations in the engineering and manufacturing sector. The research sector will increase the income for the shareholders since different companies will require knowing the best materials to use in the manufacture of certain products. Also, ITT will be able to offer high-quality goods to the market as a result of the research.</w:t>
      </w:r>
      <w:bookmarkStart w:id="0" w:name="_GoBack"/>
      <w:bookmarkEnd w:id="0"/>
    </w:p>
    <w:sectPr w:rsidR="005668AB" w:rsidRPr="00E00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54B"/>
    <w:rsid w:val="002B654B"/>
    <w:rsid w:val="003023FA"/>
    <w:rsid w:val="004B6525"/>
    <w:rsid w:val="00524DDC"/>
    <w:rsid w:val="005668AB"/>
    <w:rsid w:val="00727F8A"/>
    <w:rsid w:val="00E00FD0"/>
    <w:rsid w:val="00F31D12"/>
    <w:rsid w:val="00F723B4"/>
    <w:rsid w:val="00FB0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2018-11-30T12:36:00Z</dcterms:created>
  <dcterms:modified xsi:type="dcterms:W3CDTF">2018-11-30T15:16:00Z</dcterms:modified>
</cp:coreProperties>
</file>